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98611">
      <w:pPr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B）</w:t>
      </w:r>
    </w:p>
    <w:p w14:paraId="5EE38DD2">
      <w:pPr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对政协盂县第十届委员六次会议第13号提案的答复</w:t>
      </w:r>
    </w:p>
    <w:p w14:paraId="175C7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</w:p>
    <w:p w14:paraId="79D9E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孙晓庆委员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21259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您提出的《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深入优化营商环境，赋能我县民营企业高质量发展</w:t>
      </w:r>
      <w:r>
        <w:rPr>
          <w:rFonts w:hint="eastAsia" w:ascii="仿宋" w:hAnsi="仿宋" w:eastAsia="仿宋" w:cs="仿宋"/>
          <w:sz w:val="32"/>
          <w:szCs w:val="32"/>
        </w:rPr>
        <w:t>》的提案收悉，现答复如下：</w:t>
      </w:r>
    </w:p>
    <w:p w14:paraId="49DAF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衷心感谢您对我县经济社会发展的关注与支持，提案中各项建议，我县相关部门已结合实际积极推进落实：</w:t>
      </w:r>
    </w:p>
    <w:p w14:paraId="27708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一、强化政策集成与融资支持，持续夯实制度与金融保障</w:t>
      </w:r>
    </w:p>
    <w:p w14:paraId="66CA10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政策供给方面，我县着力构建多层次、立体化的惠企政策体系，推动政策精准直达。县发改局牵头制定《盂县推进服务业提质增效2025年行动计划》及配套清单，县工商联出台《盂县服务民营企业直通车制度实施方案》，县法院印发服务保障民营企业高质量发展的实施办法，从产业引导、服务对接、司法保障等多维度强化支撑。同步优化涉企政策服务平台，依托省级政策云平台归集发布政策信息，已梳理并发布清单15条。</w:t>
      </w:r>
    </w:p>
    <w:p w14:paraId="74239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融资服务方面，我县持续拓宽企业融资渠道，提升金融服务效能。县金融办推动金融机构创新“政采贷”“银税贷”等信用产品，常态化开展政银企对接。2025年已收集74家企业融资需求58.2亿元，全县金融机构本外币贷款余额292.29亿元，较年初增长16.50亿元。县财政局向方舟信保盂县分公司注资4000万元，联合3家银行开展融资担保服务，2025年累计担保28笔，在保余额8831万元，有效缓解中小企业融资难题。</w:t>
      </w:r>
    </w:p>
    <w:p w14:paraId="2A1B4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政府诚信建设方面，我县健全守信践诺机制，强化政策兑现监督。县清欠办制定《关于解决拖欠企业账款问题的落实意见》，完善账款防范化解机制，通过下发催办函、签订承诺书等方式推动欠款清偿。2025年以来，全省“两不一欠”平台涉及我县的177笔款项已全部化解，化解率100%，清偿率达95.57%。</w:t>
      </w:r>
    </w:p>
    <w:p w14:paraId="7B336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二、推进依法行政与包容监管，持续优化法治化营商环境</w:t>
      </w:r>
    </w:p>
    <w:p w14:paraId="11783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规范涉企执法行为方面，依托“企静通”小程序实行“扫码入企”，推动“双随机、一公开”监管全覆盖。2025年开展部门联合检查28次，出动执法人员616人次，检查市场主体154户。实施包容审慎监管，县市场局对失信主体加强指导、推行容错纠错，县环保局对14类轻微违法行为以教育纠正为主，县住建局落实包容免罚清单，实现监管力度与服务温度并重。</w:t>
      </w:r>
    </w:p>
    <w:p w14:paraId="4E5F1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涉企收费清理与价格监管方面，县市场局开展专项检查，2025年查处价格违法案件6件，罚没款2.98万元。全面加强知识产权保护与运用，目前全县有效商标注册量1988件，有效专利199件，拥有地理标志商标及产品各1件。开展知识产权专项执法，查处侵权案件6件，罚没款9.77万元。</w:t>
      </w:r>
    </w:p>
    <w:p w14:paraId="7F991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三、深化政务服务改革，提升办事便捷度与满意度</w:t>
      </w:r>
    </w:p>
    <w:p w14:paraId="38B89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“高效办成一件事”改革为抓手，大力推动服务集成化。省级政务服务平台上线51个“一件事”中，县级可办理34项。政务大厅设置专窗、配备专人提供引导，开展线上线下宣传推广。2025年累计办理“一件事”67572件，覆盖企业开办、新生儿出生、就医报销、社保服务等重点领域。</w:t>
      </w:r>
    </w:p>
    <w:p w14:paraId="47F42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持续深化“一网通办、一窗受理”，完成167项事项与省级平台对接，推进“综合窗口”“证照联办”改革，推广电子证照应用，2025年为256家企业免费申领电子印章1006个。常态化运营“优化营商环境会客厅”，举办政银企茶叙会10期，推送政策、开展培训、对接资源，闭环解决企业诉求。</w:t>
      </w:r>
    </w:p>
    <w:p w14:paraId="5EFAD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要素保障方面，用地审批依托自然资源“一张图”和“三级联办”平台，实现全流程线上办理，用地预审时限压缩至5个工作日，2025年系统累计办件55件。深化政校企合作，为15家企业开通培训权限，完成职工培训1900人。创业带动就业成效显著，现有市县级创业园区及孵化基地6个，入驻企业300余户，带动就业2000余人。公共服务持续优化，累计建设保障性住房2600余套，完成5所寄宿制学校改造，接收随迁子女924人，发放学生资助522.9万元；县级医院实现检验检查结果互认，累计节约群众医疗费用60万余元。</w:t>
      </w:r>
    </w:p>
    <w:p w14:paraId="5C8F8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四、激发创新内生动力，助力企业提质升级</w:t>
      </w:r>
    </w:p>
    <w:p w14:paraId="2853D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积极引导企业加强技术创新与品牌培育，建立民营科技领军及新锐企业培育库，入库企业5家，开展重点跟踪辅导。通过举办光子芯片等产业对接活动，推动企业把握科技前沿，因地制宜发展新质生产力，助力产业技术升级与成果转化。</w:t>
      </w:r>
    </w:p>
    <w:p w14:paraId="0BDB9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尽管我县在政策体系、融资支持、法治环境、政务服务、创新培育等方面取得阶段性进展，但对照高质量发展要求和先进地区标准，仍存在一些短板，例如智能化服务平台建设仍显薄弱、特色领域知识产权保护机制有待深化、企业创新能力与产业升级步伐仍需加快等。下一步，将坚持问题导向，聚焦企业关切，持续在平台功能集成、产权保护创新、产业生态优化等方面精准发力，努力打造更优营商环境，切实推动县域经济提质增效。</w:t>
      </w:r>
    </w:p>
    <w:p w14:paraId="7EFC4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再次感谢您的真知灼见，期待您继续关注和支持我们的工作。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</w:p>
    <w:p w14:paraId="27647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D150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630" w:rightChars="300" w:firstLine="640" w:firstLineChars="200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盂县行政审批服务管理局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C58B5"/>
    <w:rsid w:val="05C764E9"/>
    <w:rsid w:val="071650BF"/>
    <w:rsid w:val="080F2686"/>
    <w:rsid w:val="0978567E"/>
    <w:rsid w:val="0FB200C1"/>
    <w:rsid w:val="10AF0D0A"/>
    <w:rsid w:val="18331072"/>
    <w:rsid w:val="25B97D8C"/>
    <w:rsid w:val="27074BAA"/>
    <w:rsid w:val="293026C8"/>
    <w:rsid w:val="2DE2481A"/>
    <w:rsid w:val="36FD417B"/>
    <w:rsid w:val="4CEB3F2E"/>
    <w:rsid w:val="4DA9183A"/>
    <w:rsid w:val="5B7A7E95"/>
    <w:rsid w:val="5DF42070"/>
    <w:rsid w:val="60B62CA5"/>
    <w:rsid w:val="69D75D0C"/>
    <w:rsid w:val="6B565AEE"/>
    <w:rsid w:val="74340E02"/>
    <w:rsid w:val="7470334A"/>
    <w:rsid w:val="7C5740D1"/>
    <w:rsid w:val="7CC5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Body Text First Indent 21"/>
    <w:basedOn w:val="7"/>
    <w:qFormat/>
    <w:uiPriority w:val="0"/>
    <w:pPr>
      <w:ind w:left="0" w:firstLine="420"/>
    </w:pPr>
    <w:rPr>
      <w:rFonts w:ascii="仿宋_GB2312" w:eastAsia="仿宋_GB2312" w:cs="仿宋_GB2312"/>
      <w:sz w:val="32"/>
      <w:szCs w:val="32"/>
    </w:rPr>
  </w:style>
  <w:style w:type="paragraph" w:customStyle="1" w:styleId="7">
    <w:name w:val="Body Text Indent1"/>
    <w:basedOn w:val="1"/>
    <w:qFormat/>
    <w:uiPriority w:val="0"/>
    <w:pPr>
      <w:spacing w:after="120" w:afterLines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8b7a3251-9d35-45fe-9730-b0d2da2cd595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51598611</paraID>
      <start>0</start>
      <end>1</end>
      <status>unmodified</status>
      <modifiedWord/>
      <trackRevisions>false</trackRevisions>
    </reviewItem>
    <reviewItem>
      <errorID>03f0ee01-3f09-462b-9c24-eda98024ae58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51598611</paraID>
      <start>2</start>
      <end>3</end>
      <status>unmodified</status>
      <modifiedWord/>
      <trackRevisions>false</trackRevisions>
    </reviewItem>
    <reviewItem>
      <errorID>8e29b3a0-2cef-4689-84b3-e6328c31a762</errorID>
      <errorWord>法治营商环境</errorWord>
      <group>L1_Political</group>
      <groupName>政治性问题</groupName>
      <ability>L2_Keyword</ability>
      <abilityName>固定表述</abilityName>
      <candidateList>
        <item>法治化营商环境</item>
      </candidateList>
      <explain>词汇“法治化营商环境”在特定场景下为固定表述形式，请确认此处的“法治营商环境”是否存在不当。</explain>
      <paraID>7B336FFC</paraID>
      <start>18</start>
      <end>25</end>
      <status>modified</status>
      <modifiedWord>法治化营商环境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99d7d4d-05de-4cf2-b540-ec09f66939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1794</Words>
  <Characters>1904</Characters>
  <Lines>0</Lines>
  <Paragraphs>0</Paragraphs>
  <TotalTime>16</TotalTime>
  <ScaleCrop>false</ScaleCrop>
  <LinksUpToDate>false</LinksUpToDate>
  <CharactersWithSpaces>1904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2025-06-17T07:32:00Z</dcterms:created>
  <dc:creator>admin</dc:creator>
  <cp:lastModifiedBy>哈哈哈哈哈</cp:lastModifiedBy>
  <dcterms:modified xsi:type="dcterms:W3CDTF">2026-07-21T03:01:31Z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96BAE37ED8154902AD26646C4055EF75_12</vt:lpwstr>
  </property>
</Properties>
</file>